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GHEA Grapalat" w:cs="GHEA Grapalat" w:hAnsi="GHEA Grapalat" w:eastAsia="GHEA Grapalat"/>
          <w:b w:val="1"/>
          <w:bCs w:val="1"/>
          <w:i w:val="1"/>
          <w:iCs w:val="1"/>
        </w:rPr>
      </w:pPr>
    </w:p>
    <w:p>
      <w:pPr>
        <w:pStyle w:val="Normal.0"/>
        <w:jc w:val="center"/>
        <w:rPr>
          <w:rFonts w:ascii="GHEA Grapalat" w:cs="GHEA Grapalat" w:hAnsi="GHEA Grapalat" w:eastAsia="GHEA Grapalat"/>
          <w:b w:val="1"/>
          <w:bCs w:val="1"/>
          <w:sz w:val="20"/>
          <w:szCs w:val="20"/>
        </w:rPr>
      </w:pPr>
      <w:r>
        <w:rPr>
          <w:rFonts w:ascii="GHEA Grapalat" w:cs="GHEA Grapalat" w:hAnsi="GHEA Grapalat" w:eastAsia="GHEA Grapalat"/>
          <w:b w:val="1"/>
          <w:bCs w:val="1"/>
          <w:sz w:val="20"/>
          <w:szCs w:val="20"/>
          <w:rtl w:val="0"/>
          <w:lang w:val="en-US"/>
        </w:rPr>
        <w:t>ՀԱՅՏԱՐԱՐՈՒԹՅՈՒՆ</w:t>
      </w:r>
    </w:p>
    <w:p>
      <w:pPr>
        <w:pStyle w:val="Normal.0"/>
        <w:jc w:val="center"/>
        <w:rPr>
          <w:rFonts w:ascii="GHEA Grapalat" w:cs="GHEA Grapalat" w:hAnsi="GHEA Grapalat" w:eastAsia="GHEA Grapalat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GHEA Grapalat" w:cs="GHEA Grapalat" w:hAnsi="GHEA Grapalat" w:eastAsia="GHEA Grapalat"/>
          <w:b w:val="1"/>
          <w:bCs w:val="1"/>
          <w:sz w:val="20"/>
          <w:szCs w:val="20"/>
        </w:rPr>
      </w:pPr>
      <w:r>
        <w:rPr>
          <w:rFonts w:ascii="GHEA Grapalat" w:cs="GHEA Grapalat" w:hAnsi="GHEA Grapalat" w:eastAsia="GHEA Grapalat"/>
          <w:b w:val="1"/>
          <w:bCs w:val="1"/>
          <w:sz w:val="20"/>
          <w:szCs w:val="20"/>
          <w:rtl w:val="0"/>
          <w:lang w:val="en-US"/>
        </w:rPr>
        <w:t>ԳՆԱՆՇՄԱՆ ՀԱՐՑՄԱՆ ՁԵՎՈՎ ԳՆՈՒՄ ԿԱՏԱՐԵԼՈՒ ԸՆԹԱՑԱԿԱՐԳՈՎ ՊԱՅՄԱՆԱԳԻՐ ԿՆՔԵԼՈՒ ՈՐՈՇՄԱՆ ՄԱՍԻՆ</w:t>
      </w:r>
    </w:p>
    <w:p>
      <w:pPr>
        <w:pStyle w:val="heading 3"/>
        <w:ind w:firstLine="0"/>
        <w:rPr>
          <w:rFonts w:ascii="GHEA Grapalat" w:cs="GHEA Grapalat" w:hAnsi="GHEA Grapalat" w:eastAsia="GHEA Grapalat"/>
          <w:b w:val="0"/>
          <w:bCs w:val="0"/>
          <w:sz w:val="20"/>
          <w:szCs w:val="20"/>
        </w:rPr>
      </w:pPr>
    </w:p>
    <w:p>
      <w:pPr>
        <w:pStyle w:val="heading 3"/>
        <w:ind w:firstLine="0"/>
        <w:rPr>
          <w:rFonts w:ascii="GHEA Grapalat" w:cs="GHEA Grapalat" w:hAnsi="GHEA Grapalat" w:eastAsia="GHEA Grapalat"/>
          <w:b w:val="0"/>
          <w:bCs w:val="0"/>
          <w:sz w:val="20"/>
          <w:szCs w:val="20"/>
        </w:rPr>
      </w:pPr>
    </w:p>
    <w:p>
      <w:pPr>
        <w:pStyle w:val="heading 3"/>
        <w:ind w:firstLine="0"/>
        <w:rPr>
          <w:rFonts w:ascii="GHEA Grapalat" w:cs="GHEA Grapalat" w:hAnsi="GHEA Grapalat" w:eastAsia="GHEA Grapalat"/>
          <w:b w:val="0"/>
          <w:bCs w:val="0"/>
          <w:sz w:val="20"/>
          <w:szCs w:val="20"/>
        </w:rPr>
      </w:pPr>
      <w:r>
        <w:rPr>
          <w:rFonts w:ascii="GHEA Grapalat" w:cs="GHEA Grapalat" w:hAnsi="GHEA Grapalat" w:eastAsia="GHEA Grapalat"/>
          <w:b w:val="0"/>
          <w:bCs w:val="0"/>
          <w:sz w:val="20"/>
          <w:szCs w:val="20"/>
          <w:rtl w:val="0"/>
          <w:lang w:val="en-US"/>
        </w:rPr>
        <w:t xml:space="preserve">Ընթացակարգի ծածկագիրը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Հ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 xml:space="preserve">Հ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ԼՄՎՔ ԳՀ ԱՇՁԲ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-19/59</w:t>
      </w:r>
    </w:p>
    <w:p>
      <w:pPr>
        <w:pStyle w:val="Normal.0"/>
        <w:spacing w:after="240" w:line="360" w:lineRule="auto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widowControl w:val="0"/>
        <w:spacing w:line="360" w:lineRule="auto"/>
        <w:jc w:val="both"/>
      </w:pPr>
      <w:r>
        <w:tab/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Հ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>Հ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 Լոռու մարզի Վանաձորի համայնքապետարանի կողմից էլեկտրոնային եղանակով կազմակերպված ՀՀ ԼՄՎՔ ԳՀ ԱՇՁԲ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-19/59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`</w:t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Գնահատող հանձնաժողովի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2019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թվականի 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 xml:space="preserve">հունիսի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14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-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ի թիվ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3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որոշմամբ հաստատվել են ընթացակարգի բոլոր մասնակիցների կողմից ներկայացված հայտերի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`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հրավերի պահանջներին համապատասխանության գնահատման արդյունքները։ Համաձյան որի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`</w:t>
      </w:r>
    </w:p>
    <w:p>
      <w:pPr>
        <w:pStyle w:val="Normal.0"/>
        <w:spacing w:after="240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Չափաբաժին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1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։ </w:t>
      </w:r>
    </w:p>
    <w:p>
      <w:pPr>
        <w:pStyle w:val="Normal.0"/>
        <w:spacing w:after="240"/>
        <w:ind w:firstLine="709"/>
        <w:jc w:val="both"/>
        <w:rPr>
          <w:rFonts w:ascii="Sylfaen" w:cs="Sylfaen" w:hAnsi="Sylfaen" w:eastAsia="Sylfaen"/>
          <w:b w:val="1"/>
          <w:bCs w:val="1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Գնման առարկա է հանդիսանում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`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Վանաձոր համայնքում մետաղական նստարանների կառուցման աշխատանքներ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>ը</w:t>
      </w:r>
    </w:p>
    <w:tbl>
      <w:tblPr>
        <w:tblW w:w="101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4"/>
        <w:gridCol w:w="2041"/>
        <w:gridCol w:w="2298"/>
        <w:gridCol w:w="2372"/>
        <w:gridCol w:w="2845"/>
      </w:tblGrid>
      <w:tr>
        <w:tblPrEx>
          <w:shd w:val="clear" w:color="auto" w:fill="ced7e7"/>
        </w:tblPrEx>
        <w:trPr>
          <w:trHeight w:val="1344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Հ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Հ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 xml:space="preserve">Մասնակցի անվանումը 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 xml:space="preserve">Հրավերի պահանջներին համապատասխանող հայտեր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համապատասխանելու դեպքում նշել “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X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”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Հրավերի պահանջներին չհամապատասխանող հայտեր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չհամապատասխանելու դեպքում նշել “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X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”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</w:p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Անհամապատասխանության համառոտ նկարագրույթուն</w:t>
            </w:r>
          </w:p>
        </w:tc>
      </w:tr>
      <w:tr>
        <w:tblPrEx>
          <w:shd w:val="clear" w:color="auto" w:fill="ced7e7"/>
        </w:tblPrEx>
        <w:trPr>
          <w:trHeight w:val="494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1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«Մ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.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ԲՈՒԱՏ» ՍՊԸ 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2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«Լիլիթ Դերձյան» Ա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Ձ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3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«Էրիկ Սահակյան» Ա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Ձ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19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«Էլեն Գրիգորյան» Ա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Ձ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1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«Արտաշես Մեծ» ՍՊԸ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4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«Էլդինա» ՍՊԸ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41" w:hRule="atLeast"/>
        </w:trPr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7</w:t>
            </w:r>
          </w:p>
        </w:tc>
        <w:tc>
          <w:tcPr>
            <w:tcW w:type="dxa" w:w="2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</w:tabs>
              <w:outlineLvl w:val="9"/>
              <w:rPr>
                <w:rFonts w:ascii="Sylfaen" w:cs="Sylfaen" w:hAnsi="Sylfaen" w:eastAsia="Sylfaen"/>
                <w:b w:val="0"/>
                <w:bCs w:val="0"/>
                <w:sz w:val="24"/>
                <w:szCs w:val="24"/>
              </w:rPr>
            </w:pP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fr-FR"/>
              </w:rPr>
              <w:t>«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Մել և Միլ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it-IT"/>
              </w:rPr>
              <w:t>»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գեոդեզիայի եւ քարտեզագրության կենտրոն </w:t>
            </w:r>
          </w:p>
          <w:p>
            <w:pPr>
              <w:pStyle w:val="heading 5"/>
              <w:keepNext w:val="0"/>
              <w:tabs>
                <w:tab w:val="left" w:pos="720"/>
                <w:tab w:val="left" w:pos="1440"/>
              </w:tabs>
              <w:bidi w:val="0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Sylfaen" w:cs="Sylfaen" w:hAnsi="Sylfaen" w:eastAsia="Sylfaen" w:hint="default"/>
                <w:b w:val="0"/>
                <w:bCs w:val="0"/>
                <w:sz w:val="24"/>
                <w:szCs w:val="24"/>
                <w:rtl w:val="0"/>
                <w:lang w:val="en-US"/>
              </w:rPr>
              <w:t>ՍՊԸ</w:t>
            </w:r>
          </w:p>
        </w:tc>
        <w:tc>
          <w:tcPr>
            <w:tcW w:type="dxa" w:w="2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spacing w:after="240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tbl>
      <w:tblPr>
        <w:tblW w:w="101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17"/>
        <w:gridCol w:w="1768"/>
        <w:gridCol w:w="2982"/>
        <w:gridCol w:w="1902"/>
        <w:gridCol w:w="2581"/>
      </w:tblGrid>
      <w:tr>
        <w:tblPrEx>
          <w:shd w:val="clear" w:color="auto" w:fill="ced7e7"/>
        </w:tblPrEx>
        <w:trPr>
          <w:trHeight w:val="1344" w:hRule="atLeast"/>
        </w:trPr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Չ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  <w:lang w:val="ru-RU"/>
              </w:rPr>
              <w:t>/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Հ</w:t>
            </w:r>
          </w:p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Մասնակիցների զբաղեցրած տեղերը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 xml:space="preserve">Մասնակցի անվանումը 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 xml:space="preserve">Ընտրված մասնակից 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ընտրված մասնակցի համար նշել “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X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”</w:t>
            </w:r>
            <w:r>
              <w:rPr>
                <w:rFonts w:ascii="GHEA Grapalat" w:cs="GHEA Grapalat" w:hAnsi="GHEA Grapalat" w:eastAsia="GHEA Grapalat"/>
                <w:b w:val="0"/>
                <w:bCs w:val="0"/>
                <w:sz w:val="20"/>
                <w:szCs w:val="20"/>
                <w:rtl w:val="0"/>
              </w:rPr>
              <w:t>/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Մասնակցի առաջարկած գին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/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առանց ԱՀՀ</w:t>
            </w:r>
            <w:r>
              <w:rPr>
                <w:rFonts w:ascii="GHEA Grapalat" w:cs="GHEA Grapalat" w:hAnsi="GHEA Grapalat" w:eastAsia="GHEA Grapalat"/>
                <w:b w:val="1"/>
                <w:bCs w:val="1"/>
                <w:sz w:val="20"/>
                <w:szCs w:val="20"/>
                <w:rtl w:val="0"/>
              </w:rPr>
              <w:t>/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9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«Լիլիթ Դերձյան» Ա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Ձ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GHEA Grapalat" w:cs="GHEA Grapalat" w:hAnsi="GHEA Grapalat" w:eastAsia="GHEA Grapalat"/>
                <w:sz w:val="20"/>
                <w:szCs w:val="20"/>
                <w:rtl w:val="0"/>
              </w:rPr>
              <w:t>X</w:t>
            </w:r>
          </w:p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000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9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«Էրիկ Սահակյան» Ա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Ձ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049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1081" w:hRule="atLeast"/>
        </w:trPr>
        <w:tc>
          <w:tcPr>
            <w:tcW w:type="dxa" w:w="9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Sylfaen" w:cs="Sylfaen" w:hAnsi="Sylfaen" w:eastAsia="Sylfae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Sylfaen" w:cs="Sylfaen" w:hAnsi="Sylfaen" w:eastAsia="Sylfaen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fr-FR"/>
              </w:rPr>
              <w:t>«</w:t>
            </w:r>
            <w:r>
              <w:rPr>
                <w:rFonts w:ascii="Sylfaen" w:cs="Sylfaen" w:hAnsi="Sylfaen" w:eastAsia="Sylfaen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Մել և Միլ</w:t>
            </w:r>
            <w:r>
              <w:rPr>
                <w:rFonts w:ascii="Sylfaen" w:cs="Sylfaen" w:hAnsi="Sylfaen" w:eastAsia="Sylfaen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it-IT"/>
              </w:rPr>
              <w:t>»</w:t>
            </w:r>
            <w:r>
              <w:rPr>
                <w:rFonts w:ascii="Sylfaen" w:cs="Sylfaen" w:hAnsi="Sylfaen" w:eastAsia="Sylfaen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գեոդեզիայի եւ քարտեզագրության կենտրոն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Sylfaen" w:cs="Sylfaen" w:hAnsi="Sylfaen" w:eastAsia="Sylfaen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ՍՊԸ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165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9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«Արտաշես Մեծ» ՍՊԸ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285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9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</w:pP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«Մ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.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ԲՈՒԱՏ» ՍՊԸ 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  <w:tab w:val="left" w:pos="2160"/>
              </w:tabs>
              <w:ind w:left="90" w:hanging="90"/>
              <w:outlineLvl w:val="9"/>
            </w:pPr>
            <w:r>
              <w:rPr>
                <w:rFonts w:ascii="Arial LatArm" w:cs="Arial LatArm" w:hAnsi="Arial LatArm" w:eastAsia="Arial LatArm"/>
                <w:b w:val="1"/>
                <w:bCs w:val="1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Arial LatArm" w:cs="Arial LatArm" w:hAnsi="Arial LatArm" w:eastAsia="Arial LatArm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  <w:r>
              <w:rPr>
                <w:rFonts w:ascii="Arial LatArm" w:cs="Arial LatArm" w:hAnsi="Arial LatArm" w:eastAsia="Arial LatArm"/>
                <w:b w:val="1"/>
                <w:bCs w:val="1"/>
                <w:sz w:val="20"/>
                <w:szCs w:val="20"/>
                <w:rtl w:val="0"/>
                <w:lang w:val="en-US"/>
              </w:rPr>
              <w:t>375</w:t>
            </w:r>
            <w:r>
              <w:rPr>
                <w:rFonts w:ascii="Arial LatArm" w:cs="Arial LatArm" w:hAnsi="Arial LatArm" w:eastAsia="Arial LatArm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  <w:r>
              <w:rPr>
                <w:rFonts w:ascii="Arial LatArm" w:cs="Arial LatArm" w:hAnsi="Arial LatArm" w:eastAsia="Arial LatArm"/>
                <w:b w:val="1"/>
                <w:bCs w:val="1"/>
                <w:sz w:val="20"/>
                <w:szCs w:val="20"/>
                <w:rtl w:val="0"/>
                <w:lang w:val="en-US"/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9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«Էլդինա» ՍՊԸ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  <w:tab w:val="left" w:pos="2160"/>
              </w:tabs>
              <w:ind w:left="90" w:hanging="90"/>
              <w:outlineLvl w:val="9"/>
            </w:pPr>
            <w:r>
              <w:rPr>
                <w:rFonts w:ascii="Arial LatArm" w:cs="Arial LatArm" w:hAnsi="Arial LatArm" w:eastAsia="Arial LatArm"/>
                <w:b w:val="1"/>
                <w:bCs w:val="1"/>
                <w:sz w:val="20"/>
                <w:szCs w:val="20"/>
                <w:rtl w:val="0"/>
                <w:lang w:val="en-US"/>
              </w:rPr>
              <w:t>2</w:t>
            </w:r>
            <w:r>
              <w:rPr>
                <w:rFonts w:ascii="Arial LatArm" w:cs="Arial LatArm" w:hAnsi="Arial LatArm" w:eastAsia="Arial LatArm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  <w:r>
              <w:rPr>
                <w:rFonts w:ascii="Arial LatArm" w:cs="Arial LatArm" w:hAnsi="Arial LatArm" w:eastAsia="Arial LatArm"/>
                <w:b w:val="1"/>
                <w:bCs w:val="1"/>
                <w:sz w:val="20"/>
                <w:szCs w:val="20"/>
                <w:rtl w:val="0"/>
                <w:lang w:val="en-US"/>
              </w:rPr>
              <w:t>450</w:t>
            </w:r>
            <w:r>
              <w:rPr>
                <w:rFonts w:ascii="Arial LatArm" w:cs="Arial LatArm" w:hAnsi="Arial LatArm" w:eastAsia="Arial LatArm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  <w:r>
              <w:rPr>
                <w:rFonts w:ascii="Arial LatArm" w:cs="Arial LatArm" w:hAnsi="Arial LatArm" w:eastAsia="Arial LatArm"/>
                <w:b w:val="1"/>
                <w:bCs w:val="1"/>
                <w:sz w:val="20"/>
                <w:szCs w:val="20"/>
                <w:rtl w:val="0"/>
                <w:lang w:val="en-US"/>
              </w:rPr>
              <w:t>000</w:t>
            </w:r>
          </w:p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9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7</w:t>
            </w:r>
          </w:p>
        </w:tc>
        <w:tc>
          <w:tcPr>
            <w:tcW w:type="dxa" w:w="29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5"/>
              <w:keepNext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outlineLvl w:val="9"/>
            </w:pP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«Էլեն Գրիգորյան» Ա</w:t>
            </w:r>
            <w:r>
              <w:rPr>
                <w:rFonts w:ascii="Sylfaen" w:cs="Sylfaen" w:hAnsi="Sylfaen" w:eastAsia="Sylfaen"/>
                <w:b w:val="0"/>
                <w:bCs w:val="0"/>
                <w:sz w:val="22"/>
                <w:szCs w:val="22"/>
                <w:rtl w:val="0"/>
                <w:lang w:val="en-US"/>
              </w:rPr>
              <w:t>/</w:t>
            </w:r>
            <w:r>
              <w:rPr>
                <w:rFonts w:ascii="Sylfaen" w:cs="Sylfaen" w:hAnsi="Sylfaen" w:eastAsia="Sylfaen" w:hint="default"/>
                <w:b w:val="0"/>
                <w:bCs w:val="0"/>
                <w:sz w:val="22"/>
                <w:szCs w:val="22"/>
                <w:rtl w:val="0"/>
                <w:lang w:val="en-US"/>
              </w:rPr>
              <w:t>Ձ</w:t>
            </w:r>
          </w:p>
        </w:tc>
        <w:tc>
          <w:tcPr>
            <w:tcW w:type="dxa" w:w="1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000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 </w:t>
            </w:r>
            <w:r>
              <w:rPr>
                <w:rFonts w:ascii="GHEA Grapalat" w:cs="GHEA Grapalat" w:hAnsi="GHEA Grapalat" w:eastAsia="GHEA Grapala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000</w:t>
            </w:r>
          </w:p>
        </w:tc>
      </w:tr>
    </w:tbl>
    <w:p>
      <w:pPr>
        <w:pStyle w:val="Normal.0"/>
        <w:widowControl w:val="0"/>
        <w:spacing w:after="240"/>
        <w:jc w:val="center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“Գնումների մասին” ՀՀ օրենքի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10-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րդ հոդվածի համաձայն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`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անգործության ժամկետ է սահմանվում </w:t>
      </w:r>
      <w:r>
        <w:rPr>
          <w:rFonts w:ascii="GHEA Grapalat" w:cs="GHEA Grapalat" w:hAnsi="GHEA Grapalat" w:eastAsia="GHEA Grapalat"/>
          <w:b w:val="1"/>
          <w:bCs w:val="1"/>
          <w:sz w:val="20"/>
          <w:szCs w:val="20"/>
          <w:rtl w:val="0"/>
          <w:lang w:val="en-US"/>
        </w:rPr>
        <w:t>5</w:t>
      </w:r>
      <w:r>
        <w:rPr>
          <w:rFonts w:ascii="GHEA Grapalat" w:cs="GHEA Grapalat" w:hAnsi="GHEA Grapalat" w:eastAsia="GHEA Grapalat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օրացուցային օրը։</w:t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Սույն հայտարարության հետ կապված լրացուցիչ տեղեկություններ ստանալու համար կարող եք դիմել ՀՀ ԼՄՎՔ ԳՀ ԱՇՁԲ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-19/59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ծածկագրով գնահատող հանձնաժողովի քարտուղար 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>Տ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ru-RU"/>
        </w:rPr>
        <w:t>.</w:t>
      </w:r>
      <w:r>
        <w:rPr>
          <w:rFonts w:ascii="GHEA Grapalat" w:cs="GHEA Grapalat" w:hAnsi="GHEA Grapalat" w:eastAsia="GHEA Grapalat"/>
          <w:sz w:val="20"/>
          <w:szCs w:val="20"/>
          <w:rtl w:val="0"/>
        </w:rPr>
        <w:t xml:space="preserve"> Հովհաննիսյանին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>:</w:t>
      </w:r>
    </w:p>
    <w:p>
      <w:pPr>
        <w:pStyle w:val="Normal.0"/>
        <w:ind w:firstLine="709"/>
        <w:jc w:val="both"/>
        <w:rPr>
          <w:rFonts w:ascii="GHEA Grapalat" w:cs="GHEA Grapalat" w:hAnsi="GHEA Grapalat" w:eastAsia="GHEA Grapalat"/>
          <w:i w:val="1"/>
          <w:iCs w:val="1"/>
          <w:sz w:val="20"/>
          <w:szCs w:val="20"/>
        </w:rPr>
      </w:pPr>
      <w:r>
        <w:rPr>
          <w:rFonts w:ascii="GHEA Grapalat" w:cs="GHEA Grapalat" w:hAnsi="GHEA Grapalat" w:eastAsia="GHEA Grapalat"/>
          <w:sz w:val="12"/>
          <w:szCs w:val="12"/>
        </w:rPr>
        <w:tab/>
        <w:tab/>
        <w:tab/>
        <w:tab/>
        <w:tab/>
        <w:tab/>
        <w:tab/>
        <w:tab/>
        <w:tab/>
        <w:tab/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Հեռախոս՝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ru-RU"/>
        </w:rPr>
        <w:t xml:space="preserve">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ru-RU"/>
        </w:rPr>
        <w:t>374 94070166</w:t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  <w:rtl w:val="0"/>
          <w:lang w:val="en-US"/>
        </w:rPr>
        <w:t xml:space="preserve">Էլեկոտրանային փոստ՝ </w:t>
      </w:r>
      <w:r>
        <w:rPr>
          <w:rFonts w:ascii="GHEA Grapalat" w:cs="GHEA Grapalat" w:hAnsi="GHEA Grapalat" w:eastAsia="GHEA Grapalat"/>
          <w:sz w:val="20"/>
          <w:szCs w:val="20"/>
          <w:rtl w:val="0"/>
          <w:lang w:val="ru-RU"/>
        </w:rPr>
        <w:t>tatevik.hovhannisyan@osllc.am</w:t>
      </w:r>
    </w:p>
    <w:p>
      <w:pPr>
        <w:pStyle w:val="Normal.0"/>
        <w:jc w:val="both"/>
        <w:rPr>
          <w:rFonts w:ascii="GHEA Grapalat" w:cs="GHEA Grapalat" w:hAnsi="GHEA Grapalat" w:eastAsia="GHEA Grapalat"/>
          <w:sz w:val="20"/>
          <w:szCs w:val="20"/>
        </w:rPr>
      </w:pPr>
      <w:r>
        <w:rPr>
          <w:rFonts w:ascii="GHEA Grapalat" w:cs="GHEA Grapalat" w:hAnsi="GHEA Grapalat" w:eastAsia="GHEA Grapalat"/>
          <w:sz w:val="20"/>
          <w:szCs w:val="20"/>
        </w:rPr>
        <w:tab/>
      </w: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Normal.0"/>
        <w:spacing w:after="240" w:line="360" w:lineRule="auto"/>
        <w:ind w:firstLine="709"/>
        <w:jc w:val="both"/>
        <w:rPr>
          <w:rFonts w:ascii="GHEA Grapalat" w:cs="GHEA Grapalat" w:hAnsi="GHEA Grapalat" w:eastAsia="GHEA Grapalat"/>
          <w:sz w:val="20"/>
          <w:szCs w:val="20"/>
        </w:rPr>
      </w:pPr>
    </w:p>
    <w:p>
      <w:pPr>
        <w:pStyle w:val="Body Text Indent 3"/>
        <w:spacing w:after="240" w:line="360" w:lineRule="auto"/>
        <w:ind w:firstLine="709"/>
      </w:pP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>Պատվիրատու</w:t>
      </w: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 xml:space="preserve">` </w:t>
      </w: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>Հ</w:t>
      </w: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>Հ</w:t>
      </w:r>
      <w:r>
        <w:rPr>
          <w:rFonts w:ascii="GHEA Grapalat" w:cs="GHEA Grapalat" w:hAnsi="GHEA Grapalat" w:eastAsia="GHEA Grapalat"/>
          <w:b w:val="0"/>
          <w:bCs w:val="0"/>
          <w:i w:val="0"/>
          <w:iCs w:val="0"/>
          <w:sz w:val="20"/>
          <w:szCs w:val="20"/>
          <w:u w:val="none"/>
          <w:rtl w:val="0"/>
          <w:lang w:val="en-US"/>
        </w:rPr>
        <w:t xml:space="preserve"> Լոռու մարզի Վանաձորի համայնքապետարան</w:t>
      </w:r>
    </w:p>
    <w:sectPr>
      <w:headerReference w:type="default" r:id="rId4"/>
      <w:footerReference w:type="default" r:id="rId5"/>
      <w:pgSz w:w="11900" w:h="16840" w:orient="portrait"/>
      <w:pgMar w:top="284" w:right="850" w:bottom="284" w:left="9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HEA Grapalat">
    <w:charset w:val="00"/>
    <w:family w:val="roman"/>
    <w:pitch w:val="default"/>
  </w:font>
  <w:font w:name="Times LatArm">
    <w:charset w:val="00"/>
    <w:family w:val="roman"/>
    <w:pitch w:val="default"/>
  </w:font>
  <w:font w:name="Sylfaen">
    <w:charset w:val="00"/>
    <w:family w:val="roman"/>
    <w:pitch w:val="default"/>
  </w:font>
  <w:font w:name="Calibri">
    <w:charset w:val="00"/>
    <w:family w:val="roman"/>
    <w:pitch w:val="default"/>
  </w:font>
  <w:font w:name="Franklin Gothic Medium Cond">
    <w:charset w:val="00"/>
    <w:family w:val="roman"/>
    <w:pitch w:val="default"/>
  </w:font>
  <w:font w:name="Arial LatAr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">
    <w:name w:val="Колонтитул"/>
    <w:next w:val="Колонтитул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20"/>
      <w:jc w:val="center"/>
      <w:outlineLvl w:val="2"/>
    </w:pPr>
    <w:rPr>
      <w:rFonts w:ascii="Times LatArm" w:cs="Times LatArm" w:hAnsi="Times LatArm" w:eastAsia="Times LatArm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5">
    <w:name w:val="heading 5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Arial LatArm" w:cs="Arial LatArm" w:hAnsi="Arial LatArm" w:eastAsia="Arial LatArm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  <w:lang w:val="en-US"/>
    </w:r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720"/>
      <w:jc w:val="left"/>
      <w:outlineLvl w:val="9"/>
    </w:pPr>
    <w:rPr>
      <w:rFonts w:ascii="Arial LatArm" w:cs="Arial LatArm" w:hAnsi="Arial LatArm" w:eastAsia="Arial LatArm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